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E23D3" w14:textId="319C7D54" w:rsidR="00445138" w:rsidRPr="008F3C70" w:rsidRDefault="00815901" w:rsidP="00445138">
      <w:pPr>
        <w:tabs>
          <w:tab w:val="center" w:pos="4153"/>
          <w:tab w:val="right" w:pos="8306"/>
        </w:tabs>
        <w:spacing w:after="0" w:line="240" w:lineRule="auto"/>
        <w:jc w:val="both"/>
        <w:rPr>
          <w:rFonts w:ascii="Tahoma" w:eastAsia="Times New Roman" w:hAnsi="Tahoma" w:cs="Tahoma"/>
          <w:b/>
          <w:sz w:val="24"/>
          <w:szCs w:val="24"/>
          <w:lang w:val="en-AU"/>
        </w:rPr>
      </w:pPr>
      <w:r w:rsidRPr="008F3C70">
        <w:rPr>
          <w:rFonts w:ascii="Arial Narrow" w:hAnsi="Arial Narrow" w:cs="Arial"/>
          <w:b/>
          <w:sz w:val="24"/>
          <w:szCs w:val="24"/>
        </w:rPr>
        <w:t>Geotourism</w:t>
      </w:r>
      <w:r w:rsidR="000A2204" w:rsidRPr="008F3C70">
        <w:rPr>
          <w:rFonts w:ascii="Arial Narrow" w:hAnsi="Arial Narrow" w:cs="Arial"/>
          <w:b/>
          <w:sz w:val="24"/>
          <w:szCs w:val="24"/>
        </w:rPr>
        <w:t>:</w:t>
      </w:r>
      <w:r w:rsidRPr="008F3C70">
        <w:rPr>
          <w:rFonts w:ascii="Arial Narrow" w:hAnsi="Arial Narrow" w:cs="Arial"/>
          <w:b/>
          <w:sz w:val="24"/>
          <w:szCs w:val="24"/>
        </w:rPr>
        <w:t xml:space="preserve"> an emerging geoscience field to promote environmental conservation and sustainability, educational and tourism opportunities within Papua New Guinea and the Pacific Islands</w:t>
      </w:r>
      <w:r w:rsidRPr="008F3C70">
        <w:rPr>
          <w:rFonts w:ascii="Tahoma" w:eastAsia="Times New Roman" w:hAnsi="Tahoma" w:cs="Tahoma"/>
          <w:b/>
          <w:sz w:val="24"/>
          <w:szCs w:val="24"/>
          <w:lang w:val="en-AU"/>
        </w:rPr>
        <w:t xml:space="preserve"> </w:t>
      </w:r>
    </w:p>
    <w:p w14:paraId="23D12CDF" w14:textId="77777777" w:rsidR="00445138" w:rsidRPr="008F3C70" w:rsidRDefault="00445138" w:rsidP="00445138">
      <w:pPr>
        <w:tabs>
          <w:tab w:val="center" w:pos="4153"/>
          <w:tab w:val="right" w:pos="8306"/>
        </w:tabs>
        <w:spacing w:after="0" w:line="240" w:lineRule="auto"/>
        <w:jc w:val="both"/>
        <w:rPr>
          <w:rFonts w:ascii="Tahoma" w:eastAsia="Times New Roman" w:hAnsi="Tahoma" w:cs="Tahoma"/>
          <w:lang w:val="en-AU"/>
        </w:rPr>
      </w:pPr>
    </w:p>
    <w:p w14:paraId="2AB32AF9" w14:textId="0328B7A1" w:rsidR="00815901" w:rsidRPr="008F3C70" w:rsidRDefault="00815901" w:rsidP="00815901">
      <w:pPr>
        <w:tabs>
          <w:tab w:val="left" w:pos="3825"/>
          <w:tab w:val="center" w:pos="4680"/>
          <w:tab w:val="right" w:pos="9360"/>
        </w:tabs>
        <w:jc w:val="center"/>
        <w:rPr>
          <w:rFonts w:ascii="Arial" w:hAnsi="Arial" w:cs="Arial"/>
          <w:szCs w:val="24"/>
        </w:rPr>
      </w:pPr>
      <w:r w:rsidRPr="008F3C70">
        <w:rPr>
          <w:rFonts w:ascii="Arial Narrow" w:hAnsi="Arial Narrow" w:cs="Arial"/>
          <w:szCs w:val="24"/>
        </w:rPr>
        <w:t>Moira Lunge</w:t>
      </w:r>
      <w:r w:rsidRPr="008F3C70">
        <w:rPr>
          <w:rFonts w:ascii="Arial Narrow" w:hAnsi="Arial Narrow" w:cs="Arial"/>
          <w:szCs w:val="24"/>
          <w:vertAlign w:val="superscript"/>
        </w:rPr>
        <w:t>1</w:t>
      </w:r>
      <w:r w:rsidR="000A2204" w:rsidRPr="008F3C70">
        <w:rPr>
          <w:rFonts w:ascii="Arial Narrow" w:hAnsi="Arial Narrow" w:cs="Arial"/>
          <w:szCs w:val="24"/>
          <w:vertAlign w:val="superscript"/>
        </w:rPr>
        <w:t xml:space="preserve"> * </w:t>
      </w:r>
      <w:r w:rsidRPr="008F3C70">
        <w:rPr>
          <w:rFonts w:ascii="Arial Narrow" w:hAnsi="Arial Narrow" w:cs="Arial"/>
          <w:szCs w:val="24"/>
        </w:rPr>
        <w:t>and Dulcie Saroa</w:t>
      </w:r>
      <w:r w:rsidRPr="008F3C70">
        <w:rPr>
          <w:rFonts w:ascii="Arial Narrow" w:hAnsi="Arial Narrow" w:cs="Arial"/>
          <w:szCs w:val="24"/>
          <w:vertAlign w:val="superscript"/>
        </w:rPr>
        <w:t>1</w:t>
      </w:r>
    </w:p>
    <w:p w14:paraId="368462A2" w14:textId="202CBDA9" w:rsidR="00815901" w:rsidRPr="008F3C70" w:rsidRDefault="000A2204" w:rsidP="000A2204">
      <w:pPr>
        <w:pStyle w:val="ListParagraph"/>
        <w:spacing w:after="200"/>
        <w:ind w:left="0"/>
        <w:jc w:val="center"/>
        <w:rPr>
          <w:rFonts w:ascii="Arial Narrow" w:hAnsi="Arial Narrow" w:cs="Arial"/>
          <w:sz w:val="20"/>
          <w:szCs w:val="20"/>
        </w:rPr>
      </w:pPr>
      <w:r w:rsidRPr="008F3C70">
        <w:rPr>
          <w:rFonts w:ascii="Arial Narrow" w:hAnsi="Arial Narrow" w:cs="Arial"/>
          <w:sz w:val="20"/>
          <w:szCs w:val="20"/>
          <w:vertAlign w:val="superscript"/>
        </w:rPr>
        <w:t>1</w:t>
      </w:r>
      <w:r w:rsidRPr="008F3C70">
        <w:rPr>
          <w:rFonts w:ascii="Arial Narrow" w:hAnsi="Arial Narrow" w:cs="Arial"/>
          <w:sz w:val="20"/>
          <w:szCs w:val="20"/>
        </w:rPr>
        <w:t xml:space="preserve"> </w:t>
      </w:r>
      <w:r w:rsidR="00815901" w:rsidRPr="008F3C70">
        <w:rPr>
          <w:rFonts w:ascii="Arial Narrow" w:hAnsi="Arial Narrow" w:cs="Arial"/>
          <w:sz w:val="20"/>
          <w:szCs w:val="20"/>
        </w:rPr>
        <w:t>Geological Survey Division, Mineral Resources Authority, P O Box 1906, Port Moresby 121, NCD, Papua New Guinea</w:t>
      </w:r>
    </w:p>
    <w:p w14:paraId="0FC8A1F8" w14:textId="77777777" w:rsidR="00610107" w:rsidRPr="008F3C70" w:rsidRDefault="00610107" w:rsidP="00610107">
      <w:pPr>
        <w:pStyle w:val="ListParagraph"/>
        <w:tabs>
          <w:tab w:val="left" w:pos="3825"/>
          <w:tab w:val="center" w:pos="4680"/>
          <w:tab w:val="right" w:pos="9360"/>
        </w:tabs>
        <w:rPr>
          <w:rFonts w:ascii="Arial Narrow" w:hAnsi="Arial Narrow" w:cs="Arial"/>
          <w:sz w:val="20"/>
        </w:rPr>
      </w:pPr>
    </w:p>
    <w:p w14:paraId="1EFA54A7" w14:textId="4CC3F824" w:rsidR="00610107" w:rsidRPr="008F3C70" w:rsidRDefault="000A2204" w:rsidP="00610107">
      <w:pPr>
        <w:pStyle w:val="ListParagraph"/>
        <w:tabs>
          <w:tab w:val="left" w:pos="3825"/>
          <w:tab w:val="center" w:pos="4680"/>
          <w:tab w:val="right" w:pos="9360"/>
        </w:tabs>
        <w:jc w:val="center"/>
        <w:rPr>
          <w:rFonts w:ascii="Arial Narrow" w:hAnsi="Arial Narrow" w:cs="Arial"/>
          <w:sz w:val="20"/>
        </w:rPr>
      </w:pPr>
      <w:r w:rsidRPr="008F3C70">
        <w:rPr>
          <w:rFonts w:ascii="Arial Narrow" w:hAnsi="Arial Narrow" w:cs="Arial"/>
          <w:sz w:val="20"/>
        </w:rPr>
        <w:t xml:space="preserve">* </w:t>
      </w:r>
      <w:r w:rsidR="00610107" w:rsidRPr="008F3C70">
        <w:rPr>
          <w:rFonts w:ascii="Arial Narrow" w:hAnsi="Arial Narrow" w:cs="Arial"/>
          <w:sz w:val="20"/>
        </w:rPr>
        <w:t>Co</w:t>
      </w:r>
      <w:r w:rsidRPr="008F3C70">
        <w:rPr>
          <w:rFonts w:ascii="Arial Narrow" w:hAnsi="Arial Narrow" w:cs="Arial"/>
          <w:sz w:val="20"/>
        </w:rPr>
        <w:t>rresponding Author:</w:t>
      </w:r>
      <w:r w:rsidR="00610107" w:rsidRPr="008F3C70">
        <w:rPr>
          <w:rFonts w:ascii="Arial Narrow" w:hAnsi="Arial Narrow" w:cs="Arial"/>
          <w:sz w:val="20"/>
        </w:rPr>
        <w:t xml:space="preserve"> </w:t>
      </w:r>
      <w:r w:rsidRPr="008F3C70">
        <w:rPr>
          <w:rFonts w:ascii="Arial Narrow" w:hAnsi="Arial Narrow" w:cs="Arial"/>
          <w:sz w:val="20"/>
        </w:rPr>
        <w:t>mlunge@mra.gov.pg</w:t>
      </w:r>
    </w:p>
    <w:p w14:paraId="048E4EEE" w14:textId="77777777" w:rsidR="006C6835" w:rsidRPr="008F3C70" w:rsidRDefault="006C6835" w:rsidP="000A2204">
      <w:pPr>
        <w:spacing w:after="0" w:line="240" w:lineRule="auto"/>
        <w:jc w:val="both"/>
        <w:rPr>
          <w:rFonts w:ascii="Tahoma" w:hAnsi="Tahoma" w:cs="Tahoma"/>
        </w:rPr>
      </w:pPr>
    </w:p>
    <w:p w14:paraId="6276C624" w14:textId="68ABC6D9" w:rsidR="00815901" w:rsidRPr="008F3C70" w:rsidRDefault="009A4ED3" w:rsidP="000A2204">
      <w:pPr>
        <w:autoSpaceDE w:val="0"/>
        <w:autoSpaceDN w:val="0"/>
        <w:adjustRightInd w:val="0"/>
        <w:spacing w:after="0" w:line="240" w:lineRule="auto"/>
        <w:jc w:val="both"/>
        <w:rPr>
          <w:rFonts w:ascii="Arial Narrow" w:hAnsi="Arial Narrow" w:cs="Arial"/>
        </w:rPr>
      </w:pPr>
      <w:r w:rsidRPr="008F3C70">
        <w:rPr>
          <w:rFonts w:ascii="Tahoma" w:eastAsia="Times New Roman" w:hAnsi="Tahoma" w:cs="Tahoma"/>
          <w:noProof/>
        </w:rPr>
        <w:drawing>
          <wp:anchor distT="0" distB="0" distL="114300" distR="114300" simplePos="0" relativeHeight="251658240" behindDoc="0" locked="0" layoutInCell="1" allowOverlap="1" wp14:anchorId="0DBC2C07" wp14:editId="06F1D400">
            <wp:simplePos x="0" y="0"/>
            <wp:positionH relativeFrom="column">
              <wp:posOffset>13335</wp:posOffset>
            </wp:positionH>
            <wp:positionV relativeFrom="paragraph">
              <wp:posOffset>1017270</wp:posOffset>
            </wp:positionV>
            <wp:extent cx="2905125" cy="17621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0_inline_melanesia_lilyedi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05125" cy="1762125"/>
                    </a:xfrm>
                    <a:prstGeom prst="rect">
                      <a:avLst/>
                    </a:prstGeom>
                  </pic:spPr>
                </pic:pic>
              </a:graphicData>
            </a:graphic>
            <wp14:sizeRelH relativeFrom="page">
              <wp14:pctWidth>0</wp14:pctWidth>
            </wp14:sizeRelH>
            <wp14:sizeRelV relativeFrom="page">
              <wp14:pctHeight>0</wp14:pctHeight>
            </wp14:sizeRelV>
          </wp:anchor>
        </w:drawing>
      </w:r>
      <w:r w:rsidR="00815901" w:rsidRPr="008F3C70">
        <w:rPr>
          <w:rFonts w:ascii="Arial Narrow" w:hAnsi="Arial Narrow" w:cs="Arial"/>
        </w:rPr>
        <w:t xml:space="preserve">The </w:t>
      </w:r>
      <w:r w:rsidR="00815901" w:rsidRPr="008F3C70">
        <w:rPr>
          <w:rFonts w:ascii="Arial Narrow" w:hAnsi="Arial Narrow" w:cs="MyriadPro-Regular"/>
          <w:lang w:val="en-AU"/>
        </w:rPr>
        <w:t xml:space="preserve">dynamic landscapes that hosts Papua New Guinea’s rich oil, gas and mineral fields is a result of its </w:t>
      </w:r>
      <w:r w:rsidR="00815901" w:rsidRPr="008F3C70">
        <w:rPr>
          <w:rFonts w:ascii="Arial Narrow" w:hAnsi="Arial Narrow" w:cs="Arial"/>
        </w:rPr>
        <w:t>unique geological heritage at the heart of the collision between the</w:t>
      </w:r>
      <w:r w:rsidR="00D455A0" w:rsidRPr="008F3C70">
        <w:rPr>
          <w:rFonts w:ascii="Arial Narrow" w:hAnsi="Arial Narrow" w:cs="Arial"/>
        </w:rPr>
        <w:t xml:space="preserve"> continental</w:t>
      </w:r>
      <w:r w:rsidR="00815901" w:rsidRPr="008F3C70">
        <w:rPr>
          <w:rFonts w:ascii="Arial Narrow" w:hAnsi="Arial Narrow" w:cs="Arial"/>
        </w:rPr>
        <w:t xml:space="preserve"> Australian </w:t>
      </w:r>
      <w:r w:rsidR="00D455A0" w:rsidRPr="008F3C70">
        <w:rPr>
          <w:rFonts w:ascii="Arial Narrow" w:hAnsi="Arial Narrow" w:cs="Arial"/>
        </w:rPr>
        <w:t>and oceanic Pacific</w:t>
      </w:r>
      <w:r w:rsidR="00815901" w:rsidRPr="008F3C70">
        <w:rPr>
          <w:rFonts w:ascii="Arial Narrow" w:hAnsi="Arial Narrow" w:cs="Arial"/>
        </w:rPr>
        <w:t xml:space="preserve"> plates.</w:t>
      </w:r>
      <w:r w:rsidR="00815901" w:rsidRPr="008F3C70">
        <w:rPr>
          <w:rFonts w:ascii="Arial Narrow" w:hAnsi="Arial Narrow" w:cs="MyriadPro-Regular"/>
          <w:lang w:val="en-AU"/>
        </w:rPr>
        <w:t xml:space="preserve"> Despite its promotion as the land of a million different stories which are reflection</w:t>
      </w:r>
      <w:r w:rsidR="00F15D5A" w:rsidRPr="008F3C70">
        <w:rPr>
          <w:rFonts w:ascii="Arial Narrow" w:hAnsi="Arial Narrow" w:cs="MyriadPro-Regular"/>
          <w:lang w:val="en-AU"/>
        </w:rPr>
        <w:t>s</w:t>
      </w:r>
      <w:r w:rsidR="00815901" w:rsidRPr="008F3C70">
        <w:rPr>
          <w:rFonts w:ascii="Arial Narrow" w:hAnsi="Arial Narrow" w:cs="MyriadPro-Regular"/>
          <w:lang w:val="en-AU"/>
        </w:rPr>
        <w:t xml:space="preserve"> of the diverse cultures, an appreciation of the landscape development and geological understanding has never been part of its conservation approach and tourism promotion.</w:t>
      </w:r>
    </w:p>
    <w:p w14:paraId="019C5070" w14:textId="77777777" w:rsidR="00815901" w:rsidRPr="008F3C70" w:rsidRDefault="00815901" w:rsidP="000A2204">
      <w:pPr>
        <w:autoSpaceDE w:val="0"/>
        <w:autoSpaceDN w:val="0"/>
        <w:adjustRightInd w:val="0"/>
        <w:spacing w:after="0" w:line="240" w:lineRule="auto"/>
        <w:jc w:val="both"/>
        <w:rPr>
          <w:rFonts w:ascii="Arial Narrow" w:hAnsi="Arial Narrow" w:cs="Arial"/>
        </w:rPr>
      </w:pPr>
    </w:p>
    <w:p w14:paraId="64C687BE" w14:textId="77777777" w:rsidR="00815901" w:rsidRPr="008F3C70" w:rsidRDefault="00815901" w:rsidP="000A2204">
      <w:pPr>
        <w:autoSpaceDE w:val="0"/>
        <w:autoSpaceDN w:val="0"/>
        <w:adjustRightInd w:val="0"/>
        <w:spacing w:after="0" w:line="240" w:lineRule="auto"/>
        <w:jc w:val="both"/>
        <w:rPr>
          <w:rFonts w:ascii="Arial Narrow" w:hAnsi="Arial Narrow" w:cs="MyriadPro-Regular"/>
          <w:lang w:val="en-AU"/>
        </w:rPr>
      </w:pPr>
      <w:r w:rsidRPr="008F3C70">
        <w:rPr>
          <w:rFonts w:ascii="Arial Narrow" w:hAnsi="Arial Narrow" w:cs="MyriadPro-Regular"/>
          <w:lang w:val="en-AU"/>
        </w:rPr>
        <w:t>Known as the tourism of geology and landscape, geo</w:t>
      </w:r>
      <w:r w:rsidR="00610107" w:rsidRPr="008F3C70">
        <w:rPr>
          <w:rFonts w:ascii="Arial Narrow" w:hAnsi="Arial Narrow" w:cs="MyriadPro-Regular"/>
          <w:lang w:val="en-AU"/>
        </w:rPr>
        <w:t>-</w:t>
      </w:r>
      <w:r w:rsidRPr="008F3C70">
        <w:rPr>
          <w:rFonts w:ascii="Arial Narrow" w:hAnsi="Arial Narrow" w:cs="MyriadPro-Regular"/>
          <w:lang w:val="en-AU"/>
        </w:rPr>
        <w:t>tourism includes the biotic characteristics of the landscape such as flora and fauna (biodiversity), cultural features, non-living and built areas while emphasizing more on the origins and significance of the geographical features or geo-sites. It is the geological landscapes that shape communities and its residents and how they live, hence, an appreciation for science within host communities is created through geo</w:t>
      </w:r>
      <w:r w:rsidR="00610107" w:rsidRPr="008F3C70">
        <w:rPr>
          <w:rFonts w:ascii="Arial Narrow" w:hAnsi="Arial Narrow" w:cs="MyriadPro-Regular"/>
          <w:lang w:val="en-AU"/>
        </w:rPr>
        <w:t>-</w:t>
      </w:r>
      <w:r w:rsidRPr="008F3C70">
        <w:rPr>
          <w:rFonts w:ascii="Arial Narrow" w:hAnsi="Arial Narrow" w:cs="MyriadPro-Regular"/>
          <w:lang w:val="en-AU"/>
        </w:rPr>
        <w:t xml:space="preserve">tourism initiatives.  </w:t>
      </w:r>
    </w:p>
    <w:p w14:paraId="2F526090" w14:textId="77777777" w:rsidR="00815901" w:rsidRPr="008F3C70" w:rsidRDefault="00815901" w:rsidP="000A2204">
      <w:pPr>
        <w:autoSpaceDE w:val="0"/>
        <w:autoSpaceDN w:val="0"/>
        <w:adjustRightInd w:val="0"/>
        <w:spacing w:after="0" w:line="240" w:lineRule="auto"/>
        <w:jc w:val="both"/>
        <w:rPr>
          <w:rFonts w:ascii="Arial Narrow" w:hAnsi="Arial Narrow" w:cs="MyriadPro-Regular"/>
          <w:lang w:val="en-AU"/>
        </w:rPr>
      </w:pPr>
    </w:p>
    <w:p w14:paraId="064F3FC5" w14:textId="77777777" w:rsidR="00610107" w:rsidRPr="008F3C70" w:rsidRDefault="00610107" w:rsidP="000A2204">
      <w:pPr>
        <w:tabs>
          <w:tab w:val="left" w:pos="2235"/>
        </w:tabs>
        <w:autoSpaceDE w:val="0"/>
        <w:autoSpaceDN w:val="0"/>
        <w:adjustRightInd w:val="0"/>
        <w:spacing w:after="0" w:line="240" w:lineRule="auto"/>
        <w:jc w:val="both"/>
        <w:rPr>
          <w:rFonts w:ascii="Arial Narrow" w:hAnsi="Arial Narrow" w:cs="MyriadPro-Regular"/>
          <w:i/>
          <w:sz w:val="20"/>
          <w:szCs w:val="20"/>
          <w:lang w:val="en-AU"/>
        </w:rPr>
      </w:pPr>
    </w:p>
    <w:p w14:paraId="3415497D" w14:textId="55D36797" w:rsidR="00333D38" w:rsidRPr="008F3C70" w:rsidRDefault="000A2204" w:rsidP="000A2204">
      <w:pPr>
        <w:tabs>
          <w:tab w:val="left" w:pos="2235"/>
        </w:tabs>
        <w:autoSpaceDE w:val="0"/>
        <w:autoSpaceDN w:val="0"/>
        <w:adjustRightInd w:val="0"/>
        <w:spacing w:after="0" w:line="240" w:lineRule="auto"/>
        <w:jc w:val="both"/>
        <w:rPr>
          <w:rFonts w:ascii="Arial Narrow" w:hAnsi="Arial Narrow" w:cs="MyriadPro-Regular"/>
          <w:i/>
          <w:sz w:val="20"/>
          <w:szCs w:val="20"/>
          <w:lang w:val="en-AU"/>
        </w:rPr>
      </w:pPr>
      <w:r w:rsidRPr="008F3C70">
        <w:rPr>
          <w:rFonts w:ascii="Arial Narrow" w:hAnsi="Arial Narrow" w:cs="MyriadPro-Regular"/>
          <w:i/>
          <w:sz w:val="20"/>
          <w:szCs w:val="20"/>
          <w:lang w:val="en-AU"/>
        </w:rPr>
        <w:t>Figure 1:</w:t>
      </w:r>
      <w:r w:rsidR="00FA6F19" w:rsidRPr="008F3C70">
        <w:rPr>
          <w:rFonts w:ascii="Arial Narrow" w:hAnsi="Arial Narrow" w:cs="MyriadPro-Regular"/>
          <w:i/>
          <w:sz w:val="20"/>
          <w:szCs w:val="20"/>
          <w:lang w:val="en-AU"/>
        </w:rPr>
        <w:t xml:space="preserve"> Pacific Islands Volcanic panoramic vie</w:t>
      </w:r>
      <w:r w:rsidR="00610107" w:rsidRPr="008F3C70">
        <w:rPr>
          <w:rFonts w:ascii="Arial Narrow" w:hAnsi="Arial Narrow" w:cs="MyriadPro-Regular"/>
          <w:i/>
          <w:sz w:val="20"/>
          <w:szCs w:val="20"/>
          <w:lang w:val="en-AU"/>
        </w:rPr>
        <w:t xml:space="preserve">w; </w:t>
      </w:r>
      <w:r w:rsidR="002F45BF" w:rsidRPr="008F3C70">
        <w:rPr>
          <w:rFonts w:ascii="Arial Narrow" w:hAnsi="Arial Narrow" w:cs="MyriadPro-Regular"/>
          <w:i/>
          <w:sz w:val="20"/>
          <w:szCs w:val="20"/>
          <w:lang w:val="en-AU"/>
        </w:rPr>
        <w:t xml:space="preserve">a tourism </w:t>
      </w:r>
    </w:p>
    <w:p w14:paraId="2FB1136F" w14:textId="77777777" w:rsidR="00610107" w:rsidRPr="008F3C70" w:rsidRDefault="00610107" w:rsidP="000A2204">
      <w:pPr>
        <w:tabs>
          <w:tab w:val="left" w:pos="2235"/>
        </w:tabs>
        <w:autoSpaceDE w:val="0"/>
        <w:autoSpaceDN w:val="0"/>
        <w:adjustRightInd w:val="0"/>
        <w:spacing w:after="0" w:line="240" w:lineRule="auto"/>
        <w:jc w:val="both"/>
        <w:rPr>
          <w:rFonts w:ascii="Arial Narrow" w:hAnsi="Arial Narrow" w:cs="MyriadPro-Regular"/>
          <w:i/>
          <w:sz w:val="20"/>
          <w:szCs w:val="20"/>
          <w:lang w:val="en-AU"/>
        </w:rPr>
      </w:pPr>
      <w:r w:rsidRPr="008F3C70">
        <w:rPr>
          <w:rFonts w:ascii="Arial Narrow" w:hAnsi="Arial Narrow" w:cs="MyriadPro-Regular"/>
          <w:i/>
          <w:sz w:val="20"/>
          <w:szCs w:val="20"/>
          <w:lang w:val="en-AU"/>
        </w:rPr>
        <w:t>p</w:t>
      </w:r>
      <w:r w:rsidR="002F45BF" w:rsidRPr="008F3C70">
        <w:rPr>
          <w:rFonts w:ascii="Arial Narrow" w:hAnsi="Arial Narrow" w:cs="MyriadPro-Regular"/>
          <w:i/>
          <w:sz w:val="20"/>
          <w:szCs w:val="20"/>
          <w:lang w:val="en-AU"/>
        </w:rPr>
        <w:t>otential</w:t>
      </w:r>
      <w:r w:rsidRPr="008F3C70">
        <w:rPr>
          <w:rFonts w:ascii="Arial Narrow" w:hAnsi="Arial Narrow" w:cs="MyriadPro-Regular"/>
          <w:i/>
          <w:sz w:val="20"/>
          <w:szCs w:val="20"/>
          <w:lang w:val="en-AU"/>
        </w:rPr>
        <w:t>.</w:t>
      </w:r>
    </w:p>
    <w:p w14:paraId="374346B1" w14:textId="77777777" w:rsidR="00610107" w:rsidRPr="008F3C70" w:rsidRDefault="00610107" w:rsidP="000A2204">
      <w:pPr>
        <w:tabs>
          <w:tab w:val="left" w:pos="2235"/>
        </w:tabs>
        <w:autoSpaceDE w:val="0"/>
        <w:autoSpaceDN w:val="0"/>
        <w:adjustRightInd w:val="0"/>
        <w:spacing w:after="0" w:line="240" w:lineRule="auto"/>
        <w:jc w:val="both"/>
        <w:rPr>
          <w:rFonts w:ascii="Arial Narrow" w:hAnsi="Arial Narrow" w:cs="MyriadPro-Regular"/>
          <w:lang w:val="en-AU"/>
        </w:rPr>
      </w:pPr>
    </w:p>
    <w:p w14:paraId="2AFBC513" w14:textId="77777777" w:rsidR="00610107" w:rsidRPr="008F3C70" w:rsidRDefault="00610107" w:rsidP="000A2204">
      <w:pPr>
        <w:tabs>
          <w:tab w:val="left" w:pos="2235"/>
        </w:tabs>
        <w:autoSpaceDE w:val="0"/>
        <w:autoSpaceDN w:val="0"/>
        <w:adjustRightInd w:val="0"/>
        <w:spacing w:after="0" w:line="240" w:lineRule="auto"/>
        <w:jc w:val="both"/>
        <w:rPr>
          <w:rFonts w:ascii="Arial Narrow" w:hAnsi="Arial Narrow" w:cs="MyriadPro-Regular"/>
          <w:lang w:val="en-AU"/>
        </w:rPr>
      </w:pPr>
      <w:r w:rsidRPr="008F3C70">
        <w:rPr>
          <w:rFonts w:ascii="Arial Narrow" w:hAnsi="Arial Narrow" w:cs="MyriadPro-Regular"/>
          <w:lang w:val="en-AU"/>
        </w:rPr>
        <w:t xml:space="preserve">Encompassing the global aims of green climate, geo-tourism initiative resolves this locally through a geo-conservation </w:t>
      </w:r>
    </w:p>
    <w:p w14:paraId="17C43C67" w14:textId="77777777" w:rsidR="00815901" w:rsidRPr="008F3C70" w:rsidRDefault="00815901" w:rsidP="000A2204">
      <w:pPr>
        <w:tabs>
          <w:tab w:val="left" w:pos="2235"/>
        </w:tabs>
        <w:autoSpaceDE w:val="0"/>
        <w:autoSpaceDN w:val="0"/>
        <w:adjustRightInd w:val="0"/>
        <w:spacing w:after="0" w:line="240" w:lineRule="auto"/>
        <w:jc w:val="both"/>
        <w:rPr>
          <w:rFonts w:ascii="Arial Narrow" w:hAnsi="Arial Narrow" w:cs="MyriadPro-Regular"/>
          <w:i/>
          <w:sz w:val="20"/>
          <w:szCs w:val="20"/>
          <w:lang w:val="en-AU"/>
        </w:rPr>
      </w:pPr>
      <w:r w:rsidRPr="008F3C70">
        <w:rPr>
          <w:rFonts w:ascii="Arial Narrow" w:hAnsi="Arial Narrow" w:cs="MyriadPro-Regular"/>
          <w:lang w:val="en-AU"/>
        </w:rPr>
        <w:t>strategy within the environmental conservation approach and as geohazard awareness strategy for development plans. Geotourism can also be incorporated as a mine closure and rehabilitation measure to promote environmental sustainability while preserving certain mining landscapes for tourism engagement and geoscience education.</w:t>
      </w:r>
    </w:p>
    <w:p w14:paraId="5E4DEE5E" w14:textId="77777777" w:rsidR="00815901" w:rsidRPr="008F3C70" w:rsidRDefault="00815901" w:rsidP="000A2204">
      <w:pPr>
        <w:tabs>
          <w:tab w:val="left" w:pos="2235"/>
        </w:tabs>
        <w:autoSpaceDE w:val="0"/>
        <w:autoSpaceDN w:val="0"/>
        <w:adjustRightInd w:val="0"/>
        <w:spacing w:after="0" w:line="240" w:lineRule="auto"/>
        <w:jc w:val="both"/>
        <w:rPr>
          <w:rFonts w:ascii="Arial Narrow" w:hAnsi="Arial Narrow" w:cs="MyriadPro-Regular"/>
          <w:lang w:val="en-AU"/>
        </w:rPr>
      </w:pPr>
    </w:p>
    <w:p w14:paraId="6EBE79C4" w14:textId="05432FE6" w:rsidR="001931BD" w:rsidRPr="008F3C70" w:rsidRDefault="000A2204" w:rsidP="000A2204">
      <w:pPr>
        <w:tabs>
          <w:tab w:val="left" w:pos="2235"/>
        </w:tabs>
        <w:autoSpaceDE w:val="0"/>
        <w:autoSpaceDN w:val="0"/>
        <w:adjustRightInd w:val="0"/>
        <w:spacing w:after="0" w:line="240" w:lineRule="auto"/>
        <w:jc w:val="both"/>
        <w:rPr>
          <w:rFonts w:ascii="Arial Narrow" w:hAnsi="Arial Narrow" w:cs="MyriadPro-Regular"/>
          <w:lang w:val="en-AU"/>
        </w:rPr>
      </w:pPr>
      <w:r w:rsidRPr="008F3C70">
        <w:rPr>
          <w:rFonts w:ascii="Arial Narrow" w:hAnsi="Arial Narrow" w:cs="MyriadPro-Regular"/>
          <w:lang w:val="en-AU"/>
        </w:rPr>
        <w:t>While</w:t>
      </w:r>
      <w:r w:rsidR="00815901" w:rsidRPr="008F3C70">
        <w:rPr>
          <w:rFonts w:ascii="Arial Narrow" w:hAnsi="Arial Narrow" w:cs="MyriadPro-Regular"/>
          <w:lang w:val="en-AU"/>
        </w:rPr>
        <w:t xml:space="preserve"> Pac</w:t>
      </w:r>
      <w:r w:rsidRPr="008F3C70">
        <w:rPr>
          <w:rFonts w:ascii="Arial Narrow" w:hAnsi="Arial Narrow" w:cs="MyriadPro-Regular"/>
          <w:lang w:val="en-AU"/>
        </w:rPr>
        <w:t>ific Tourism Organisation, Pacific Community</w:t>
      </w:r>
      <w:r w:rsidR="00815901" w:rsidRPr="008F3C70">
        <w:rPr>
          <w:rFonts w:ascii="Arial Narrow" w:hAnsi="Arial Narrow" w:cs="MyriadPro-Regular"/>
          <w:lang w:val="en-AU"/>
        </w:rPr>
        <w:t xml:space="preserve"> and United Nations Educational Scientific and </w:t>
      </w:r>
      <w:r w:rsidRPr="008F3C70">
        <w:rPr>
          <w:rFonts w:ascii="Arial Narrow" w:hAnsi="Arial Narrow" w:cs="MyriadPro-Regular"/>
          <w:lang w:val="en-AU"/>
        </w:rPr>
        <w:t>Cultural Organisation</w:t>
      </w:r>
      <w:r w:rsidR="00815901" w:rsidRPr="008F3C70">
        <w:rPr>
          <w:rFonts w:ascii="Arial Narrow" w:hAnsi="Arial Narrow" w:cs="MyriadPro-Regular"/>
          <w:lang w:val="en-AU"/>
        </w:rPr>
        <w:t xml:space="preserve"> have partnered to support tourism recovery with the establishment of geoparks on existing ecotourism sites in Fiji, Tuvalu, Samoa and Vanuatu, Papua New Guinea through the Mineral Resources Authority’s Geological Survey Divis</w:t>
      </w:r>
      <w:r w:rsidRPr="008F3C70">
        <w:rPr>
          <w:rFonts w:ascii="Arial Narrow" w:hAnsi="Arial Narrow" w:cs="MyriadPro-Regular"/>
          <w:lang w:val="en-AU"/>
        </w:rPr>
        <w:t>ion</w:t>
      </w:r>
      <w:r w:rsidR="00815901" w:rsidRPr="008F3C70">
        <w:rPr>
          <w:rFonts w:ascii="Arial Narrow" w:hAnsi="Arial Narrow" w:cs="MyriadPro-Regular"/>
          <w:lang w:val="en-AU"/>
        </w:rPr>
        <w:t xml:space="preserve"> has formed domestic collaborations to develop geotourism products ra</w:t>
      </w:r>
      <w:r w:rsidRPr="008F3C70">
        <w:rPr>
          <w:rFonts w:ascii="Arial Narrow" w:hAnsi="Arial Narrow" w:cs="MyriadPro-Regular"/>
          <w:lang w:val="en-AU"/>
        </w:rPr>
        <w:t xml:space="preserve">nging from tourism attractions and </w:t>
      </w:r>
      <w:r w:rsidR="00815901" w:rsidRPr="008F3C70">
        <w:rPr>
          <w:rFonts w:ascii="Arial Narrow" w:hAnsi="Arial Narrow" w:cs="MyriadPro-Regular"/>
          <w:lang w:val="en-AU"/>
        </w:rPr>
        <w:t>educational opportunities</w:t>
      </w:r>
      <w:r w:rsidRPr="008F3C70">
        <w:rPr>
          <w:rFonts w:ascii="Arial Narrow" w:hAnsi="Arial Narrow" w:cs="MyriadPro-Regular"/>
          <w:lang w:val="en-AU"/>
        </w:rPr>
        <w:t>,</w:t>
      </w:r>
      <w:r w:rsidR="00815901" w:rsidRPr="008F3C70">
        <w:rPr>
          <w:rFonts w:ascii="Arial Narrow" w:hAnsi="Arial Narrow" w:cs="MyriadPro-Regular"/>
          <w:lang w:val="en-AU"/>
        </w:rPr>
        <w:t xml:space="preserve"> including geoscience research and conservation</w:t>
      </w:r>
      <w:r w:rsidRPr="008F3C70">
        <w:rPr>
          <w:rFonts w:ascii="Arial Narrow" w:hAnsi="Arial Narrow" w:cs="MyriadPro-Regular"/>
          <w:lang w:val="en-AU"/>
        </w:rPr>
        <w:t>,</w:t>
      </w:r>
      <w:r w:rsidR="00815901" w:rsidRPr="008F3C70">
        <w:rPr>
          <w:rFonts w:ascii="Arial Narrow" w:hAnsi="Arial Narrow" w:cs="MyriadPro-Regular"/>
          <w:lang w:val="en-AU"/>
        </w:rPr>
        <w:t xml:space="preserve"> for better appreciation of our environment.</w:t>
      </w:r>
    </w:p>
    <w:p w14:paraId="1C524A71" w14:textId="77777777" w:rsidR="001931BD" w:rsidRPr="008F3C70" w:rsidRDefault="001931BD" w:rsidP="000A2204">
      <w:pPr>
        <w:spacing w:after="0" w:line="240" w:lineRule="auto"/>
        <w:jc w:val="both"/>
        <w:rPr>
          <w:rFonts w:ascii="Tahoma" w:hAnsi="Tahoma" w:cs="Tahoma"/>
        </w:rPr>
      </w:pPr>
    </w:p>
    <w:p w14:paraId="1BFE9CCE" w14:textId="45DC949A" w:rsidR="00F15D5A" w:rsidRPr="008F3C70" w:rsidRDefault="00F15D5A" w:rsidP="000A2204">
      <w:pPr>
        <w:tabs>
          <w:tab w:val="left" w:pos="2235"/>
        </w:tabs>
        <w:autoSpaceDE w:val="0"/>
        <w:autoSpaceDN w:val="0"/>
        <w:adjustRightInd w:val="0"/>
        <w:spacing w:after="0" w:line="240" w:lineRule="auto"/>
        <w:jc w:val="both"/>
        <w:rPr>
          <w:rFonts w:ascii="Arial Narrow" w:hAnsi="Arial Narrow" w:cs="MyriadPro-Regular"/>
          <w:sz w:val="24"/>
          <w:szCs w:val="18"/>
          <w:lang w:val="en-AU"/>
        </w:rPr>
      </w:pPr>
      <w:r w:rsidRPr="008F3C70">
        <w:rPr>
          <w:rFonts w:ascii="Arial Narrow" w:hAnsi="Arial Narrow" w:cs="Arial"/>
          <w:b/>
          <w:szCs w:val="24"/>
        </w:rPr>
        <w:t>Key words:</w:t>
      </w:r>
      <w:r w:rsidRPr="008F3C70">
        <w:rPr>
          <w:rFonts w:ascii="Arial Narrow" w:hAnsi="Arial Narrow" w:cs="Arial"/>
          <w:szCs w:val="24"/>
        </w:rPr>
        <w:t xml:space="preserve"> Geoscience</w:t>
      </w:r>
      <w:r w:rsidR="000A2204" w:rsidRPr="008F3C70">
        <w:rPr>
          <w:rFonts w:ascii="Arial Narrow" w:hAnsi="Arial Narrow" w:cs="Arial"/>
          <w:szCs w:val="24"/>
        </w:rPr>
        <w:t>s</w:t>
      </w:r>
      <w:r w:rsidRPr="008F3C70">
        <w:rPr>
          <w:rFonts w:ascii="Arial Narrow" w:hAnsi="Arial Narrow" w:cs="Arial"/>
          <w:szCs w:val="24"/>
        </w:rPr>
        <w:t>, Geo</w:t>
      </w:r>
      <w:r w:rsidR="000A2204" w:rsidRPr="008F3C70">
        <w:rPr>
          <w:rFonts w:ascii="Arial Narrow" w:hAnsi="Arial Narrow" w:cs="Arial"/>
          <w:szCs w:val="24"/>
        </w:rPr>
        <w:t>tourism, Geo</w:t>
      </w:r>
      <w:r w:rsidRPr="008F3C70">
        <w:rPr>
          <w:rFonts w:ascii="Arial Narrow" w:hAnsi="Arial Narrow" w:cs="Arial"/>
          <w:szCs w:val="24"/>
        </w:rPr>
        <w:t>conservation, Papua New Guinea</w:t>
      </w:r>
      <w:r w:rsidR="00610107" w:rsidRPr="008F3C70">
        <w:rPr>
          <w:rFonts w:ascii="Arial Narrow" w:hAnsi="Arial Narrow" w:cs="Arial"/>
          <w:szCs w:val="24"/>
        </w:rPr>
        <w:t>, Pacific</w:t>
      </w:r>
    </w:p>
    <w:p w14:paraId="11D256D1" w14:textId="77777777" w:rsidR="00AE579E" w:rsidRPr="008F3C70" w:rsidRDefault="00AE579E" w:rsidP="000A2204">
      <w:pPr>
        <w:spacing w:after="0" w:line="240" w:lineRule="auto"/>
        <w:jc w:val="both"/>
        <w:rPr>
          <w:rFonts w:ascii="Tahoma" w:hAnsi="Tahoma" w:cs="Tahoma"/>
        </w:rPr>
      </w:pPr>
    </w:p>
    <w:p w14:paraId="4D594A72" w14:textId="77777777" w:rsidR="00F15D5A" w:rsidRPr="008F3C70" w:rsidRDefault="00F15D5A" w:rsidP="000A2204">
      <w:pPr>
        <w:spacing w:after="0" w:line="240" w:lineRule="auto"/>
        <w:jc w:val="both"/>
        <w:rPr>
          <w:rFonts w:ascii="Tahoma" w:hAnsi="Tahoma" w:cs="Tahoma"/>
        </w:rPr>
      </w:pPr>
    </w:p>
    <w:p w14:paraId="42616578" w14:textId="2A39E519" w:rsidR="000A0BBE" w:rsidRPr="008F3C70" w:rsidRDefault="00F15D5A" w:rsidP="000A2204">
      <w:pPr>
        <w:pStyle w:val="Heading1"/>
        <w:spacing w:before="0" w:after="0" w:line="240" w:lineRule="auto"/>
        <w:rPr>
          <w:rFonts w:ascii="Arial Narrow" w:hAnsi="Arial Narrow"/>
          <w:color w:val="auto"/>
          <w:sz w:val="22"/>
          <w:szCs w:val="22"/>
          <w:lang w:val="en-GB" w:eastAsia="en-US"/>
        </w:rPr>
      </w:pPr>
      <w:r w:rsidRPr="008F3C70">
        <w:rPr>
          <w:rFonts w:ascii="Arial Narrow" w:hAnsi="Arial Narrow"/>
          <w:color w:val="auto"/>
          <w:sz w:val="22"/>
          <w:szCs w:val="22"/>
          <w:lang w:val="en-GB" w:eastAsia="en-US"/>
        </w:rPr>
        <w:t xml:space="preserve">References </w:t>
      </w:r>
    </w:p>
    <w:p w14:paraId="076E3B9F" w14:textId="77777777" w:rsidR="000A2204" w:rsidRPr="008F3C70" w:rsidRDefault="000A2204" w:rsidP="000A2204">
      <w:pPr>
        <w:spacing w:after="0" w:line="240" w:lineRule="auto"/>
        <w:jc w:val="both"/>
        <w:rPr>
          <w:rFonts w:ascii="Arial Narrow" w:hAnsi="Arial Narrow"/>
          <w:sz w:val="20"/>
          <w:szCs w:val="20"/>
        </w:rPr>
      </w:pPr>
    </w:p>
    <w:p w14:paraId="2D7E77C0" w14:textId="2008E9BB" w:rsidR="00F15D5A" w:rsidRPr="008F3C70" w:rsidRDefault="00F15D5A" w:rsidP="000A2204">
      <w:pPr>
        <w:spacing w:after="0" w:line="240" w:lineRule="auto"/>
        <w:jc w:val="both"/>
        <w:rPr>
          <w:rFonts w:ascii="Arial Narrow" w:hAnsi="Arial Narrow"/>
          <w:sz w:val="20"/>
          <w:szCs w:val="20"/>
        </w:rPr>
      </w:pPr>
      <w:r w:rsidRPr="008F3C70">
        <w:rPr>
          <w:rFonts w:ascii="Arial Narrow" w:hAnsi="Arial Narrow"/>
          <w:sz w:val="20"/>
          <w:szCs w:val="20"/>
        </w:rPr>
        <w:t>H</w:t>
      </w:r>
      <w:r w:rsidR="000A2204" w:rsidRPr="008F3C70">
        <w:rPr>
          <w:rFonts w:ascii="Arial Narrow" w:hAnsi="Arial Narrow"/>
          <w:sz w:val="20"/>
          <w:szCs w:val="20"/>
        </w:rPr>
        <w:t>all R</w:t>
      </w:r>
      <w:r w:rsidRPr="008F3C70">
        <w:rPr>
          <w:rFonts w:ascii="Arial Narrow" w:hAnsi="Arial Narrow"/>
          <w:sz w:val="20"/>
          <w:szCs w:val="20"/>
        </w:rPr>
        <w:t>, 2002. Cenozoic geological and pl</w:t>
      </w:r>
      <w:r w:rsidR="000A2204" w:rsidRPr="008F3C70">
        <w:rPr>
          <w:rFonts w:ascii="Arial Narrow" w:hAnsi="Arial Narrow"/>
          <w:sz w:val="20"/>
          <w:szCs w:val="20"/>
        </w:rPr>
        <w:t>ate tectonic evolution of South</w:t>
      </w:r>
      <w:r w:rsidRPr="008F3C70">
        <w:rPr>
          <w:rFonts w:ascii="Arial Narrow" w:hAnsi="Arial Narrow"/>
          <w:sz w:val="20"/>
          <w:szCs w:val="20"/>
        </w:rPr>
        <w:t>east Asia and the South-west Pacific: computer-</w:t>
      </w:r>
      <w:r w:rsidRPr="008F3C70">
        <w:rPr>
          <w:rFonts w:ascii="Arial Narrow" w:hAnsi="Arial Narrow"/>
          <w:sz w:val="20"/>
          <w:szCs w:val="20"/>
        </w:rPr>
        <w:tab/>
        <w:t>based reconstructions, model and animations. Journal of Asian Earth Sciences, v 20, p 353-431.</w:t>
      </w:r>
    </w:p>
    <w:p w14:paraId="67C4BB58" w14:textId="7AB90BC8" w:rsidR="000A0BBE" w:rsidRPr="008F3C70" w:rsidRDefault="000A2204" w:rsidP="000A2204">
      <w:pPr>
        <w:spacing w:after="0" w:line="240" w:lineRule="auto"/>
        <w:jc w:val="both"/>
        <w:rPr>
          <w:rFonts w:ascii="Arial Narrow" w:hAnsi="Arial Narrow"/>
          <w:sz w:val="20"/>
          <w:szCs w:val="20"/>
        </w:rPr>
      </w:pPr>
      <w:r w:rsidRPr="008F3C70">
        <w:rPr>
          <w:rFonts w:ascii="Arial Narrow" w:hAnsi="Arial Narrow"/>
          <w:sz w:val="20"/>
          <w:szCs w:val="20"/>
        </w:rPr>
        <w:t>Deer WA, Howie RA, Zussman J</w:t>
      </w:r>
      <w:r w:rsidR="000A0BBE" w:rsidRPr="008F3C70">
        <w:rPr>
          <w:rFonts w:ascii="Arial Narrow" w:hAnsi="Arial Narrow"/>
          <w:sz w:val="20"/>
          <w:szCs w:val="20"/>
        </w:rPr>
        <w:t>, 1962. Rock-Forming Minerals, Volume l. Longmans, Green &amp; Co., London (UK), 371 p.</w:t>
      </w:r>
    </w:p>
    <w:p w14:paraId="0153FA76" w14:textId="77777777" w:rsidR="00F15D5A" w:rsidRPr="008F3C70" w:rsidRDefault="00F15D5A" w:rsidP="000A2204">
      <w:pPr>
        <w:spacing w:after="0" w:line="240" w:lineRule="auto"/>
        <w:jc w:val="both"/>
        <w:rPr>
          <w:rFonts w:ascii="Tahoma" w:hAnsi="Tahoma" w:cs="Tahoma"/>
        </w:rPr>
      </w:pPr>
    </w:p>
    <w:sectPr w:rsidR="00F15D5A" w:rsidRPr="008F3C70" w:rsidSect="009D2C69">
      <w:pgSz w:w="11906" w:h="16838"/>
      <w:pgMar w:top="96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yriadPro-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D1DB8"/>
    <w:multiLevelType w:val="hybridMultilevel"/>
    <w:tmpl w:val="D54ED0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F704AA4"/>
    <w:multiLevelType w:val="hybridMultilevel"/>
    <w:tmpl w:val="AA400484"/>
    <w:lvl w:ilvl="0" w:tplc="5EFC62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620730">
    <w:abstractNumId w:val="0"/>
  </w:num>
  <w:num w:numId="2" w16cid:durableId="9947232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138"/>
    <w:rsid w:val="000522E6"/>
    <w:rsid w:val="000A0BBE"/>
    <w:rsid w:val="000A2204"/>
    <w:rsid w:val="00156ACE"/>
    <w:rsid w:val="001931BD"/>
    <w:rsid w:val="001C1C35"/>
    <w:rsid w:val="00286070"/>
    <w:rsid w:val="002F39D7"/>
    <w:rsid w:val="002F45BF"/>
    <w:rsid w:val="00333D38"/>
    <w:rsid w:val="00337429"/>
    <w:rsid w:val="003E487E"/>
    <w:rsid w:val="00445138"/>
    <w:rsid w:val="004B7B32"/>
    <w:rsid w:val="00610107"/>
    <w:rsid w:val="0069149D"/>
    <w:rsid w:val="006C6835"/>
    <w:rsid w:val="00734FAB"/>
    <w:rsid w:val="008041BE"/>
    <w:rsid w:val="00815901"/>
    <w:rsid w:val="008E372C"/>
    <w:rsid w:val="008F3C70"/>
    <w:rsid w:val="009A4ED3"/>
    <w:rsid w:val="009D2C69"/>
    <w:rsid w:val="00AE579E"/>
    <w:rsid w:val="00AF616C"/>
    <w:rsid w:val="00B8271F"/>
    <w:rsid w:val="00B87F56"/>
    <w:rsid w:val="00B90CEA"/>
    <w:rsid w:val="00BB0A15"/>
    <w:rsid w:val="00C013E4"/>
    <w:rsid w:val="00C27725"/>
    <w:rsid w:val="00C40C0E"/>
    <w:rsid w:val="00C56400"/>
    <w:rsid w:val="00C73AC2"/>
    <w:rsid w:val="00D455A0"/>
    <w:rsid w:val="00D83A8F"/>
    <w:rsid w:val="00F15D5A"/>
    <w:rsid w:val="00F76048"/>
    <w:rsid w:val="00FA6F19"/>
    <w:rsid w:val="00FD4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976F5"/>
  <w15:docId w15:val="{BBD3A729-4AD7-442C-936A-F98FE95AE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5D5A"/>
    <w:pPr>
      <w:keepNext/>
      <w:keepLines/>
      <w:spacing w:before="240" w:after="240" w:line="360" w:lineRule="auto"/>
      <w:jc w:val="both"/>
      <w:outlineLvl w:val="0"/>
    </w:pPr>
    <w:rPr>
      <w:rFonts w:ascii="Arial" w:eastAsiaTheme="majorEastAsia" w:hAnsi="Arial" w:cstheme="majorBidi"/>
      <w:b/>
      <w:color w:val="000000" w:themeColor="text1"/>
      <w:sz w:val="32"/>
      <w:szCs w:val="32"/>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6400"/>
    <w:rPr>
      <w:color w:val="0000FF" w:themeColor="hyperlink"/>
      <w:u w:val="single"/>
    </w:rPr>
  </w:style>
  <w:style w:type="paragraph" w:styleId="BalloonText">
    <w:name w:val="Balloon Text"/>
    <w:basedOn w:val="Normal"/>
    <w:link w:val="BalloonTextChar"/>
    <w:uiPriority w:val="99"/>
    <w:semiHidden/>
    <w:unhideWhenUsed/>
    <w:rsid w:val="00FD43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385"/>
    <w:rPr>
      <w:rFonts w:ascii="Tahoma" w:hAnsi="Tahoma" w:cs="Tahoma"/>
      <w:sz w:val="16"/>
      <w:szCs w:val="16"/>
    </w:rPr>
  </w:style>
  <w:style w:type="paragraph" w:styleId="ListParagraph">
    <w:name w:val="List Paragraph"/>
    <w:basedOn w:val="Normal"/>
    <w:uiPriority w:val="34"/>
    <w:qFormat/>
    <w:rsid w:val="00815901"/>
    <w:pPr>
      <w:spacing w:after="0" w:line="240" w:lineRule="auto"/>
      <w:ind w:left="720"/>
      <w:contextualSpacing/>
    </w:pPr>
    <w:rPr>
      <w:rFonts w:ascii="Times New Roman" w:eastAsia="Times New Roman" w:hAnsi="Times New Roman" w:cs="Times New Roman"/>
      <w:sz w:val="24"/>
      <w:szCs w:val="24"/>
      <w:lang w:val="en-AU" w:eastAsia="en-AU"/>
    </w:rPr>
  </w:style>
  <w:style w:type="character" w:customStyle="1" w:styleId="Heading1Char">
    <w:name w:val="Heading 1 Char"/>
    <w:basedOn w:val="DefaultParagraphFont"/>
    <w:link w:val="Heading1"/>
    <w:uiPriority w:val="9"/>
    <w:rsid w:val="00F15D5A"/>
    <w:rPr>
      <w:rFonts w:ascii="Arial" w:eastAsiaTheme="majorEastAsia" w:hAnsi="Arial" w:cstheme="majorBidi"/>
      <w:b/>
      <w:color w:val="000000" w:themeColor="text1"/>
      <w:sz w:val="32"/>
      <w:szCs w:val="3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Able Valued Client</dc:creator>
  <cp:lastModifiedBy>Michael Petterson</cp:lastModifiedBy>
  <cp:revision>5</cp:revision>
  <dcterms:created xsi:type="dcterms:W3CDTF">2024-01-17T00:08:00Z</dcterms:created>
  <dcterms:modified xsi:type="dcterms:W3CDTF">2024-01-30T01:52:00Z</dcterms:modified>
</cp:coreProperties>
</file>